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84" w:rsidRPr="00931DD0" w:rsidRDefault="005B5C84" w:rsidP="005B5C84">
      <w:pPr>
        <w:pStyle w:val="NoSpacing"/>
        <w:jc w:val="center"/>
        <w:rPr>
          <w:b/>
        </w:rPr>
      </w:pPr>
      <w:r w:rsidRPr="00931DD0">
        <w:rPr>
          <w:b/>
        </w:rPr>
        <w:t>File No.4/4/2019-SD/AM(Adv.</w:t>
      </w:r>
      <w:r>
        <w:rPr>
          <w:b/>
        </w:rPr>
        <w:t xml:space="preserve"> </w:t>
      </w:r>
      <w:r w:rsidRPr="00931DD0">
        <w:rPr>
          <w:b/>
        </w:rPr>
        <w:t>No.</w:t>
      </w:r>
      <w:r>
        <w:rPr>
          <w:b/>
        </w:rPr>
        <w:t xml:space="preserve"> 10</w:t>
      </w:r>
      <w:r w:rsidRPr="00931DD0">
        <w:rPr>
          <w:b/>
        </w:rPr>
        <w:t>/2019)</w:t>
      </w:r>
    </w:p>
    <w:p w:rsidR="005B5C84" w:rsidRPr="00931DD0" w:rsidRDefault="005B5C84" w:rsidP="005B5C84">
      <w:pPr>
        <w:pStyle w:val="NoSpacing"/>
        <w:jc w:val="center"/>
        <w:rPr>
          <w:b/>
        </w:rPr>
      </w:pPr>
      <w:r w:rsidRPr="00931DD0">
        <w:rPr>
          <w:b/>
        </w:rPr>
        <w:t>Indira Gandhi National Centre for the Arts,</w:t>
      </w:r>
    </w:p>
    <w:p w:rsidR="005B5C84" w:rsidRPr="00931DD0" w:rsidRDefault="005B5C84" w:rsidP="005B5C84">
      <w:pPr>
        <w:pStyle w:val="NoSpacing"/>
        <w:jc w:val="center"/>
        <w:rPr>
          <w:b/>
        </w:rPr>
      </w:pPr>
      <w:r w:rsidRPr="00931DD0">
        <w:rPr>
          <w:b/>
        </w:rPr>
        <w:t>(An Autonomous Trust Under the Ministry of Culture, Govt. of India)</w:t>
      </w:r>
    </w:p>
    <w:p w:rsidR="005B5C84" w:rsidRPr="00931DD0" w:rsidRDefault="005B5C84" w:rsidP="005B5C84">
      <w:pPr>
        <w:pStyle w:val="NoSpacing"/>
        <w:jc w:val="center"/>
        <w:rPr>
          <w:b/>
        </w:rPr>
      </w:pPr>
      <w:r w:rsidRPr="00931DD0">
        <w:rPr>
          <w:b/>
        </w:rPr>
        <w:t>No.11, Man Singh Road, New Delhi- 110 001.</w:t>
      </w:r>
    </w:p>
    <w:p w:rsidR="005B5C84" w:rsidRDefault="00816933" w:rsidP="00816933">
      <w:pPr>
        <w:jc w:val="right"/>
        <w:rPr>
          <w:szCs w:val="28"/>
        </w:rPr>
      </w:pPr>
      <w:r>
        <w:rPr>
          <w:szCs w:val="28"/>
        </w:rPr>
        <w:t>Dated: 07.03.2019</w:t>
      </w:r>
    </w:p>
    <w:p w:rsidR="005B5C84" w:rsidRDefault="005B5C84" w:rsidP="005B5C84">
      <w:pPr>
        <w:jc w:val="both"/>
        <w:rPr>
          <w:szCs w:val="28"/>
        </w:rPr>
      </w:pPr>
      <w:r>
        <w:rPr>
          <w:szCs w:val="28"/>
        </w:rPr>
        <w:t>The Indira Gandhi National Centre for the Arts(IGNCA), an autonomous institution under the Ministry of Culture, Government of India, having its Regional Centre at Vadodara is visualized as  Centre encompassing the study of all arts, especially in their dimension of interrelationship and mutual interdependence.  The IGNCA seeks to place the arts within the context of natural and human environment.  The fundamental approach of the Centre in all its work is multidisciplinary and holistic.</w:t>
      </w:r>
    </w:p>
    <w:p w:rsidR="005B5C84" w:rsidRDefault="005B5C84" w:rsidP="005B5C84">
      <w:pPr>
        <w:jc w:val="both"/>
        <w:rPr>
          <w:szCs w:val="28"/>
        </w:rPr>
      </w:pPr>
      <w:r>
        <w:rPr>
          <w:szCs w:val="28"/>
        </w:rPr>
        <w:t>The IGNCA  intends to engage ‘</w:t>
      </w:r>
      <w:r w:rsidRPr="00931DD0">
        <w:rPr>
          <w:b/>
          <w:szCs w:val="28"/>
        </w:rPr>
        <w:t>Project Associate’</w:t>
      </w:r>
      <w:r>
        <w:rPr>
          <w:szCs w:val="28"/>
        </w:rPr>
        <w:t xml:space="preserve"> in IGNCA’s Vadodara Regional Centre on contractual basis.  The eligibility criteria are as under:-</w:t>
      </w:r>
    </w:p>
    <w:p w:rsidR="005B5C84" w:rsidRDefault="005B5C84" w:rsidP="005B5C84">
      <w:pPr>
        <w:jc w:val="both"/>
        <w:rPr>
          <w:szCs w:val="28"/>
        </w:rPr>
      </w:pPr>
      <w:r w:rsidRPr="00931DD0">
        <w:rPr>
          <w:b/>
          <w:szCs w:val="28"/>
        </w:rPr>
        <w:t>PROJECT ASSOCIATE</w:t>
      </w:r>
      <w:r>
        <w:rPr>
          <w:szCs w:val="28"/>
        </w:rPr>
        <w:t>:</w:t>
      </w:r>
    </w:p>
    <w:p w:rsidR="005B5C84" w:rsidRPr="006A64E4" w:rsidRDefault="005B5C84" w:rsidP="005B5C84">
      <w:pPr>
        <w:pStyle w:val="ListParagraph"/>
        <w:numPr>
          <w:ilvl w:val="0"/>
          <w:numId w:val="1"/>
        </w:numPr>
        <w:jc w:val="both"/>
        <w:rPr>
          <w:b/>
          <w:bCs/>
          <w:szCs w:val="28"/>
        </w:rPr>
      </w:pPr>
      <w:r w:rsidRPr="006A64E4">
        <w:rPr>
          <w:b/>
          <w:bCs/>
          <w:szCs w:val="28"/>
        </w:rPr>
        <w:t>Number of Position: Two</w:t>
      </w:r>
    </w:p>
    <w:p w:rsidR="005B5C84" w:rsidRDefault="005B5C84" w:rsidP="005B5C84">
      <w:pPr>
        <w:pStyle w:val="ListParagraph"/>
        <w:numPr>
          <w:ilvl w:val="0"/>
          <w:numId w:val="1"/>
        </w:numPr>
        <w:jc w:val="both"/>
        <w:rPr>
          <w:szCs w:val="28"/>
        </w:rPr>
      </w:pPr>
      <w:r>
        <w:rPr>
          <w:szCs w:val="28"/>
        </w:rPr>
        <w:t>Remuneration : Rs.40,000/- per month</w:t>
      </w:r>
    </w:p>
    <w:p w:rsidR="005B5C84" w:rsidRDefault="005B5C84" w:rsidP="005B5C84">
      <w:pPr>
        <w:pStyle w:val="ListParagraph"/>
        <w:numPr>
          <w:ilvl w:val="0"/>
          <w:numId w:val="1"/>
        </w:numPr>
        <w:jc w:val="both"/>
        <w:rPr>
          <w:szCs w:val="28"/>
        </w:rPr>
      </w:pPr>
      <w:r>
        <w:rPr>
          <w:szCs w:val="28"/>
        </w:rPr>
        <w:t>Age limit: Not exceeding 40 years as on 15.02.2019</w:t>
      </w:r>
    </w:p>
    <w:p w:rsidR="005B5C84" w:rsidRDefault="005B5C84" w:rsidP="005B5C84">
      <w:pPr>
        <w:pStyle w:val="ListParagraph"/>
        <w:numPr>
          <w:ilvl w:val="0"/>
          <w:numId w:val="1"/>
        </w:numPr>
        <w:jc w:val="both"/>
        <w:rPr>
          <w:szCs w:val="28"/>
        </w:rPr>
      </w:pPr>
      <w:r>
        <w:rPr>
          <w:szCs w:val="28"/>
        </w:rPr>
        <w:t>Tenure: Initially for a period of one year, extendable on the basis of performance &amp; requirement.</w:t>
      </w:r>
    </w:p>
    <w:p w:rsidR="005B5C84" w:rsidRDefault="005B5C84" w:rsidP="005B5C84">
      <w:pPr>
        <w:pStyle w:val="ListParagraph"/>
        <w:ind w:left="1080"/>
        <w:jc w:val="both"/>
        <w:rPr>
          <w:szCs w:val="28"/>
        </w:rPr>
      </w:pPr>
    </w:p>
    <w:p w:rsidR="005B5C84" w:rsidRPr="00931DD0" w:rsidRDefault="005B5C84" w:rsidP="005B5C84">
      <w:pPr>
        <w:pStyle w:val="ListParagraph"/>
        <w:ind w:left="0"/>
        <w:jc w:val="both"/>
        <w:rPr>
          <w:b/>
          <w:szCs w:val="28"/>
        </w:rPr>
      </w:pPr>
      <w:r w:rsidRPr="00931DD0">
        <w:rPr>
          <w:b/>
          <w:szCs w:val="28"/>
        </w:rPr>
        <w:t xml:space="preserve">Work Profile: </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Pr>
          <w:szCs w:val="28"/>
        </w:rPr>
        <w:t>Project Associate will work in IGNCA’s Vadodara Regional Centre under the Regional Director/Nodal Office in managing  the affairs of the Centre that includes preparing proposals for arts related activities such as workshops, seminars, lectures and performances for various target groups; coordinating programmes; communicating with various organizations for collaborations; anchoring of events; writing reports.  S/he will be required to work at odd hours and on weekly and other holidays depending on work requirement.</w:t>
      </w:r>
    </w:p>
    <w:p w:rsidR="005B5C84" w:rsidRDefault="005B5C84" w:rsidP="005B5C84">
      <w:pPr>
        <w:pStyle w:val="ListParagraph"/>
        <w:ind w:left="0"/>
        <w:jc w:val="both"/>
        <w:rPr>
          <w:szCs w:val="28"/>
        </w:rPr>
      </w:pPr>
    </w:p>
    <w:p w:rsidR="005B5C84" w:rsidRPr="00931DD0" w:rsidRDefault="005B5C84" w:rsidP="005B5C84">
      <w:pPr>
        <w:pStyle w:val="ListParagraph"/>
        <w:ind w:left="0"/>
        <w:jc w:val="both"/>
        <w:rPr>
          <w:b/>
          <w:szCs w:val="28"/>
        </w:rPr>
      </w:pPr>
      <w:r w:rsidRPr="00931DD0">
        <w:rPr>
          <w:b/>
          <w:szCs w:val="28"/>
        </w:rPr>
        <w:t>Educational Qualification and Experience:</w:t>
      </w:r>
    </w:p>
    <w:p w:rsidR="005B5C84" w:rsidRDefault="005B5C84" w:rsidP="005B5C84">
      <w:pPr>
        <w:pStyle w:val="ListParagraph"/>
        <w:numPr>
          <w:ilvl w:val="0"/>
          <w:numId w:val="2"/>
        </w:numPr>
        <w:jc w:val="both"/>
        <w:rPr>
          <w:szCs w:val="28"/>
        </w:rPr>
      </w:pPr>
      <w:r>
        <w:rPr>
          <w:szCs w:val="28"/>
        </w:rPr>
        <w:t>Master’s degree in a subject such as Visual Arts/Performing Art/Museology/Cultural Studies from recognised University.</w:t>
      </w:r>
    </w:p>
    <w:p w:rsidR="005B5C84" w:rsidRDefault="005B5C84" w:rsidP="005B5C84">
      <w:pPr>
        <w:pStyle w:val="ListParagraph"/>
        <w:numPr>
          <w:ilvl w:val="0"/>
          <w:numId w:val="2"/>
        </w:numPr>
        <w:jc w:val="both"/>
        <w:rPr>
          <w:szCs w:val="28"/>
        </w:rPr>
      </w:pPr>
      <w:r>
        <w:rPr>
          <w:szCs w:val="28"/>
        </w:rPr>
        <w:t>Fluency in English speaking and Writing.</w:t>
      </w:r>
    </w:p>
    <w:p w:rsidR="005B5C84" w:rsidRDefault="005B5C84" w:rsidP="005B5C84">
      <w:pPr>
        <w:pStyle w:val="ListParagraph"/>
        <w:numPr>
          <w:ilvl w:val="0"/>
          <w:numId w:val="2"/>
        </w:numPr>
        <w:jc w:val="both"/>
        <w:rPr>
          <w:szCs w:val="28"/>
        </w:rPr>
      </w:pPr>
      <w:r>
        <w:rPr>
          <w:szCs w:val="28"/>
        </w:rPr>
        <w:t>At least five years of exposure in cultural field or research.</w:t>
      </w:r>
    </w:p>
    <w:p w:rsidR="005B5C84" w:rsidRDefault="005B5C84" w:rsidP="005B5C84">
      <w:pPr>
        <w:pStyle w:val="ListParagraph"/>
        <w:numPr>
          <w:ilvl w:val="0"/>
          <w:numId w:val="2"/>
        </w:numPr>
        <w:jc w:val="both"/>
        <w:rPr>
          <w:szCs w:val="28"/>
        </w:rPr>
      </w:pPr>
      <w:r>
        <w:rPr>
          <w:szCs w:val="28"/>
        </w:rPr>
        <w:t>Candidates having Ph.D. degree will be given preference.</w:t>
      </w:r>
    </w:p>
    <w:p w:rsidR="005B5C84" w:rsidRDefault="005B5C84" w:rsidP="005B5C84">
      <w:pPr>
        <w:pStyle w:val="ListParagraph"/>
        <w:jc w:val="both"/>
        <w:rPr>
          <w:szCs w:val="28"/>
        </w:rPr>
      </w:pPr>
    </w:p>
    <w:p w:rsidR="005B5C84" w:rsidRDefault="005B5C84" w:rsidP="005B5C84">
      <w:pPr>
        <w:pStyle w:val="ListParagraph"/>
        <w:ind w:left="0"/>
        <w:jc w:val="both"/>
        <w:rPr>
          <w:szCs w:val="28"/>
        </w:rPr>
      </w:pPr>
      <w:r w:rsidRPr="00931DD0">
        <w:rPr>
          <w:b/>
          <w:szCs w:val="28"/>
        </w:rPr>
        <w:t>Travel</w:t>
      </w:r>
      <w:r>
        <w:rPr>
          <w:szCs w:val="28"/>
        </w:rPr>
        <w:t>:  Will be eligible for TA/DA as per IGNCA Rules.</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sidRPr="00931DD0">
        <w:rPr>
          <w:b/>
          <w:szCs w:val="28"/>
        </w:rPr>
        <w:t>Leave</w:t>
      </w:r>
      <w:r>
        <w:rPr>
          <w:szCs w:val="28"/>
        </w:rPr>
        <w:t>:  Will be entitled for leave @ two and half days for each completed calendar month of service.  The leave of one calendar year will not be carried forward for the next calendar year.  No. other kind of leave shall be admissible under any circumstances.</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sidRPr="00931DD0">
        <w:rPr>
          <w:b/>
          <w:szCs w:val="28"/>
        </w:rPr>
        <w:t>Mode of Selection</w:t>
      </w:r>
      <w:r>
        <w:rPr>
          <w:szCs w:val="28"/>
        </w:rPr>
        <w:t>:  Through Walk-in Interview.</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Pr>
          <w:szCs w:val="28"/>
        </w:rPr>
        <w:lastRenderedPageBreak/>
        <w:t>Candidates are requested to fill the prescribed form given below, supported by self attested copies of testimonials.  Walk-in Interview will be held on 15</w:t>
      </w:r>
      <w:r w:rsidRPr="00BF6BE9">
        <w:rPr>
          <w:szCs w:val="28"/>
          <w:vertAlign w:val="superscript"/>
        </w:rPr>
        <w:t>th</w:t>
      </w:r>
      <w:r>
        <w:rPr>
          <w:szCs w:val="28"/>
        </w:rPr>
        <w:t xml:space="preserve"> </w:t>
      </w:r>
      <w:r w:rsidR="00D815BE">
        <w:rPr>
          <w:szCs w:val="28"/>
        </w:rPr>
        <w:t>March, 2019</w:t>
      </w:r>
      <w:r>
        <w:rPr>
          <w:szCs w:val="28"/>
        </w:rPr>
        <w:t xml:space="preserve"> at 11.00 A.M. in IGNCA’s Regional Centre C/O Fatesingh Museum, Lukshmi Vilas Palace, J.L. Nehru Road, Vadodara 390001.</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Pr>
          <w:szCs w:val="28"/>
        </w:rPr>
        <w:t>Candidates are requested to report 10.00 A.M. with original certificates for verification and only eligible candidates will be allowed to appear for interview.  Candidates will not be eligible for  any travel/conveyance expenditure/</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Pr>
          <w:szCs w:val="28"/>
        </w:rPr>
        <w:t>IGNCA reserves the right to relax any of the conditions in case of exceptionally deserving candidates.  The IGNCA reserves the right to reject any or all applications without assigning any reason.  The decision of the IGNCA regarding  selection of applications for interview and/or engagement shall be final binding.</w:t>
      </w:r>
    </w:p>
    <w:p w:rsidR="005B5C84" w:rsidRDefault="005B5C84" w:rsidP="005B5C84">
      <w:pPr>
        <w:pStyle w:val="ListParagraph"/>
        <w:ind w:left="0"/>
        <w:jc w:val="both"/>
        <w:rPr>
          <w:szCs w:val="28"/>
        </w:rPr>
      </w:pPr>
    </w:p>
    <w:p w:rsidR="005B5C84" w:rsidRDefault="005B5C84" w:rsidP="005B5C84">
      <w:pPr>
        <w:pStyle w:val="ListParagraph"/>
        <w:ind w:left="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Director (Admn)</w:t>
      </w:r>
    </w:p>
    <w:p w:rsidR="005B5C84" w:rsidRPr="00117290" w:rsidRDefault="005B5C84" w:rsidP="005B5C84">
      <w:pPr>
        <w:pStyle w:val="ListParagraph"/>
        <w:ind w:left="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IGNCA</w:t>
      </w:r>
    </w:p>
    <w:p w:rsidR="005B5C84" w:rsidRDefault="005B5C84" w:rsidP="005B5C84"/>
    <w:p w:rsidR="00055AA8" w:rsidRDefault="00055AA8"/>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p w:rsidR="000947C9" w:rsidRDefault="000947C9" w:rsidP="0073717F">
      <w:pPr>
        <w:pStyle w:val="Default"/>
        <w:pageBreakBefore/>
        <w:spacing w:line="360" w:lineRule="auto"/>
        <w:ind w:left="720" w:firstLine="720"/>
        <w:rPr>
          <w:rFonts w:ascii="Times New Roman" w:hAnsi="Times New Roman" w:cs="Times New Roman"/>
        </w:rPr>
      </w:pPr>
      <w:r>
        <w:rPr>
          <w:rFonts w:ascii="Times New Roman" w:hAnsi="Times New Roman" w:cs="Times New Roman"/>
          <w:b/>
          <w:bCs/>
        </w:rPr>
        <w:lastRenderedPageBreak/>
        <w:t>INDIRA GANDHI NATIONAL CENTRE FOR THE ARTS</w:t>
      </w:r>
    </w:p>
    <w:p w:rsidR="000947C9" w:rsidRDefault="000947C9" w:rsidP="0073717F">
      <w:pPr>
        <w:pStyle w:val="Default"/>
        <w:spacing w:line="360" w:lineRule="auto"/>
        <w:ind w:left="720" w:firstLine="720"/>
        <w:jc w:val="center"/>
        <w:rPr>
          <w:rFonts w:ascii="Times New Roman" w:hAnsi="Times New Roman" w:cs="Times New Roman"/>
        </w:rPr>
      </w:pPr>
      <w:r>
        <w:rPr>
          <w:rFonts w:ascii="Times New Roman" w:hAnsi="Times New Roman" w:cs="Times New Roman"/>
        </w:rPr>
        <w:t>APPLICATION FOR THE POST OF ________________</w:t>
      </w:r>
    </w:p>
    <w:p w:rsidR="000947C9" w:rsidRDefault="000947C9" w:rsidP="007745EB">
      <w:pPr>
        <w:pStyle w:val="Default"/>
        <w:rPr>
          <w:rFonts w:ascii="Times New Roman" w:hAnsi="Times New Roman" w:cs="Times New Roman"/>
        </w:rPr>
      </w:pPr>
    </w:p>
    <w:tbl>
      <w:tblPr>
        <w:tblStyle w:val="TableGrid"/>
        <w:tblW w:w="0" w:type="auto"/>
        <w:tblInd w:w="6138" w:type="dxa"/>
        <w:tblLook w:val="04A0"/>
      </w:tblPr>
      <w:tblGrid>
        <w:gridCol w:w="1947"/>
      </w:tblGrid>
      <w:tr w:rsidR="000947C9" w:rsidTr="000947C9">
        <w:trPr>
          <w:trHeight w:val="1406"/>
        </w:trPr>
        <w:tc>
          <w:tcPr>
            <w:tcW w:w="1947" w:type="dxa"/>
          </w:tcPr>
          <w:p w:rsidR="000947C9" w:rsidRDefault="000947C9" w:rsidP="000947C9">
            <w:pPr>
              <w:pStyle w:val="Default"/>
              <w:jc w:val="center"/>
              <w:rPr>
                <w:rFonts w:ascii="Times New Roman" w:hAnsi="Times New Roman" w:cs="Times New Roman"/>
              </w:rPr>
            </w:pPr>
            <w:r>
              <w:rPr>
                <w:rFonts w:ascii="Times New Roman" w:hAnsi="Times New Roman" w:cs="Times New Roman"/>
              </w:rPr>
              <w:t xml:space="preserve">Affix recent Passport size </w:t>
            </w:r>
          </w:p>
          <w:p w:rsidR="000947C9" w:rsidRDefault="000947C9" w:rsidP="000947C9">
            <w:pPr>
              <w:pStyle w:val="Default"/>
              <w:jc w:val="center"/>
              <w:rPr>
                <w:rFonts w:ascii="Times New Roman" w:hAnsi="Times New Roman" w:cs="Times New Roman"/>
              </w:rPr>
            </w:pPr>
            <w:r>
              <w:rPr>
                <w:rFonts w:ascii="Times New Roman" w:hAnsi="Times New Roman" w:cs="Times New Roman"/>
              </w:rPr>
              <w:t>Photo</w:t>
            </w:r>
          </w:p>
        </w:tc>
      </w:tr>
    </w:tbl>
    <w:p w:rsidR="000947C9" w:rsidRDefault="000947C9" w:rsidP="000947C9">
      <w:pPr>
        <w:pStyle w:val="Default"/>
        <w:rPr>
          <w:rFonts w:ascii="Times New Roman" w:hAnsi="Times New Roman" w:cs="Times New Roman"/>
        </w:rPr>
      </w:pPr>
    </w:p>
    <w:p w:rsidR="000947C9" w:rsidRDefault="000947C9" w:rsidP="000947C9">
      <w:pPr>
        <w:pStyle w:val="Default"/>
        <w:rPr>
          <w:rFonts w:ascii="Times New Roman" w:hAnsi="Times New Roman" w:cs="Times New Roman"/>
        </w:rPr>
      </w:pPr>
    </w:p>
    <w:tbl>
      <w:tblPr>
        <w:tblStyle w:val="TableGrid"/>
        <w:tblW w:w="0" w:type="auto"/>
        <w:tblLook w:val="04A0"/>
      </w:tblPr>
      <w:tblGrid>
        <w:gridCol w:w="633"/>
        <w:gridCol w:w="3673"/>
        <w:gridCol w:w="3824"/>
      </w:tblGrid>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rFonts w:ascii="Times New Roman" w:hAnsi="Times New Roman" w:cs="Times New Roman"/>
              </w:rPr>
            </w:pPr>
            <w:r>
              <w:rPr>
                <w:rFonts w:ascii="Times New Roman" w:hAnsi="Times New Roman" w:cs="Times New Roman"/>
              </w:rPr>
              <w:t>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rFonts w:ascii="Times New Roman" w:hAnsi="Times New Roman" w:cs="Times New Roman"/>
                <w:sz w:val="22"/>
                <w:szCs w:val="22"/>
              </w:rPr>
            </w:pPr>
            <w:r>
              <w:rPr>
                <w:rFonts w:ascii="Times New Roman" w:hAnsi="Times New Roman" w:cs="Times New Roman"/>
                <w:b/>
                <w:bCs/>
                <w:sz w:val="22"/>
                <w:szCs w:val="22"/>
              </w:rPr>
              <w:t xml:space="preserve">Name </w:t>
            </w:r>
          </w:p>
          <w:p w:rsidR="000947C9" w:rsidRDefault="000947C9">
            <w:pPr>
              <w:pStyle w:val="Default"/>
              <w:rPr>
                <w:rFonts w:ascii="Times New Roman" w:hAnsi="Times New Roman" w:cs="Times New Roman"/>
              </w:rPr>
            </w:pPr>
            <w:r>
              <w:rPr>
                <w:rFonts w:ascii="Times New Roman" w:hAnsi="Times New Roman" w:cs="Times New Roman"/>
                <w:b/>
                <w:bCs/>
                <w:sz w:val="22"/>
                <w:szCs w:val="22"/>
              </w:rPr>
              <w:t xml:space="preserve">(in Capital letters as it appears in the Matriculation Certificate)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rFonts w:ascii="Times New Roman" w:hAnsi="Times New Roman" w:cs="Times New Roman"/>
              </w:rPr>
            </w:pPr>
            <w:r>
              <w:rPr>
                <w:rFonts w:ascii="Times New Roman" w:hAnsi="Times New Roman" w:cs="Times New Roman"/>
              </w:rPr>
              <w:t>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Present Address with Pin Code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Permanent Address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sz w:val="22"/>
                <w:szCs w:val="22"/>
              </w:rPr>
            </w:pPr>
            <w:r>
              <w:rPr>
                <w:b/>
                <w:bCs/>
                <w:sz w:val="22"/>
                <w:szCs w:val="22"/>
              </w:rPr>
              <w:t xml:space="preserve">Telephone no./Mobile no./ </w:t>
            </w:r>
          </w:p>
          <w:p w:rsidR="000947C9" w:rsidRDefault="000947C9">
            <w:pPr>
              <w:pStyle w:val="Default"/>
              <w:rPr>
                <w:b/>
                <w:sz w:val="22"/>
                <w:szCs w:val="22"/>
              </w:rPr>
            </w:pPr>
            <w:r>
              <w:rPr>
                <w:b/>
                <w:sz w:val="22"/>
                <w:szCs w:val="22"/>
              </w:rPr>
              <w:t xml:space="preserve">Email/Fax no., </w:t>
            </w:r>
          </w:p>
          <w:p w:rsidR="007745EB" w:rsidRDefault="007745EB">
            <w:pPr>
              <w:pStyle w:val="Default"/>
              <w:rPr>
                <w:rFonts w:ascii="Times New Roman" w:hAnsi="Times New Roman" w:cs="Times New Roman"/>
                <w:b/>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Nationality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Date of Birth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Age as on </w:t>
            </w:r>
            <w:r w:rsidR="007745EB">
              <w:rPr>
                <w:b/>
                <w:bCs/>
                <w:sz w:val="22"/>
                <w:szCs w:val="22"/>
              </w:rPr>
              <w:t>15</w:t>
            </w:r>
            <w:r w:rsidR="007745EB" w:rsidRPr="007745EB">
              <w:rPr>
                <w:b/>
                <w:bCs/>
                <w:sz w:val="22"/>
                <w:szCs w:val="22"/>
                <w:vertAlign w:val="superscript"/>
              </w:rPr>
              <w:t>th</w:t>
            </w:r>
            <w:r w:rsidR="007745EB">
              <w:rPr>
                <w:b/>
                <w:bCs/>
                <w:sz w:val="22"/>
                <w:szCs w:val="22"/>
              </w:rPr>
              <w:t xml:space="preserve"> March, 2019</w:t>
            </w:r>
            <w:r>
              <w:rPr>
                <w:b/>
                <w:bCs/>
                <w:sz w:val="22"/>
                <w:szCs w:val="22"/>
              </w:rPr>
              <w:t xml:space="preserve">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Sex (Male/Female)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Marital status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Category (SC/ST/PH/General)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sz w:val="22"/>
                <w:szCs w:val="22"/>
              </w:rPr>
            </w:pPr>
            <w:r>
              <w:rPr>
                <w:b/>
                <w:bCs/>
                <w:sz w:val="22"/>
                <w:szCs w:val="22"/>
              </w:rPr>
              <w:t xml:space="preserve">Educational Qualification </w:t>
            </w:r>
          </w:p>
          <w:p w:rsidR="000947C9" w:rsidRDefault="000947C9">
            <w:pPr>
              <w:pStyle w:val="Default"/>
              <w:rPr>
                <w:rFonts w:ascii="Times New Roman" w:hAnsi="Times New Roman" w:cs="Times New Roman"/>
              </w:rPr>
            </w:pPr>
            <w:r>
              <w:rPr>
                <w:b/>
                <w:bCs/>
                <w:sz w:val="22"/>
                <w:szCs w:val="22"/>
              </w:rPr>
              <w:t xml:space="preserve">(Attach an extra sheet if required)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color w:val="auto"/>
              </w:rPr>
            </w:pPr>
          </w:p>
          <w:p w:rsidR="000947C9" w:rsidRDefault="000947C9">
            <w:pPr>
              <w:pStyle w:val="Default"/>
              <w:rPr>
                <w:sz w:val="22"/>
                <w:szCs w:val="22"/>
              </w:rPr>
            </w:pPr>
            <w:r>
              <w:rPr>
                <w:b/>
                <w:bCs/>
                <w:sz w:val="22"/>
                <w:szCs w:val="22"/>
              </w:rPr>
              <w:t xml:space="preserve">a) Languages known </w:t>
            </w:r>
          </w:p>
          <w:p w:rsidR="000947C9" w:rsidRDefault="000947C9">
            <w:pPr>
              <w:pStyle w:val="Default"/>
              <w:rPr>
                <w:sz w:val="22"/>
                <w:szCs w:val="22"/>
              </w:rPr>
            </w:pPr>
            <w:r>
              <w:rPr>
                <w:b/>
                <w:bCs/>
                <w:sz w:val="22"/>
                <w:szCs w:val="22"/>
              </w:rPr>
              <w:t xml:space="preserve">1. Read </w:t>
            </w:r>
          </w:p>
          <w:p w:rsidR="000947C9" w:rsidRDefault="000947C9">
            <w:pPr>
              <w:pStyle w:val="Default"/>
              <w:rPr>
                <w:sz w:val="22"/>
                <w:szCs w:val="22"/>
              </w:rPr>
            </w:pPr>
            <w:r>
              <w:rPr>
                <w:b/>
                <w:bCs/>
                <w:sz w:val="22"/>
                <w:szCs w:val="22"/>
              </w:rPr>
              <w:t xml:space="preserve">2. Write </w:t>
            </w:r>
          </w:p>
          <w:p w:rsidR="000947C9" w:rsidRDefault="000947C9">
            <w:pPr>
              <w:pStyle w:val="Default"/>
              <w:rPr>
                <w:sz w:val="22"/>
                <w:szCs w:val="22"/>
              </w:rPr>
            </w:pPr>
            <w:r>
              <w:rPr>
                <w:b/>
                <w:bCs/>
                <w:sz w:val="22"/>
                <w:szCs w:val="22"/>
              </w:rPr>
              <w:t xml:space="preserve">3. Both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p w:rsidR="000947C9" w:rsidRDefault="000947C9">
            <w:pPr>
              <w:pStyle w:val="Default"/>
              <w:rPr>
                <w:sz w:val="22"/>
                <w:szCs w:val="22"/>
              </w:rPr>
            </w:pPr>
            <w:r>
              <w:rPr>
                <w:b/>
                <w:bCs/>
                <w:sz w:val="22"/>
                <w:szCs w:val="22"/>
              </w:rPr>
              <w:t xml:space="preserve">1. </w:t>
            </w:r>
          </w:p>
          <w:p w:rsidR="000947C9" w:rsidRDefault="000947C9">
            <w:pPr>
              <w:pStyle w:val="Default"/>
              <w:rPr>
                <w:sz w:val="22"/>
                <w:szCs w:val="22"/>
              </w:rPr>
            </w:pPr>
            <w:r>
              <w:rPr>
                <w:b/>
                <w:bCs/>
                <w:sz w:val="22"/>
                <w:szCs w:val="22"/>
              </w:rPr>
              <w:t xml:space="preserve">2. </w:t>
            </w:r>
          </w:p>
          <w:p w:rsidR="000947C9" w:rsidRDefault="000947C9">
            <w:pPr>
              <w:pStyle w:val="Default"/>
              <w:rPr>
                <w:rFonts w:ascii="Times New Roman" w:hAnsi="Times New Roman" w:cs="Times New Roman"/>
              </w:rPr>
            </w:pPr>
            <w:r>
              <w:rPr>
                <w:b/>
                <w:bCs/>
                <w:sz w:val="22"/>
                <w:szCs w:val="22"/>
              </w:rPr>
              <w:t xml:space="preserve">3. </w:t>
            </w: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sz w:val="22"/>
                <w:szCs w:val="22"/>
              </w:rPr>
            </w:pPr>
            <w:r>
              <w:rPr>
                <w:b/>
                <w:bCs/>
                <w:sz w:val="22"/>
                <w:szCs w:val="22"/>
              </w:rPr>
              <w:t xml:space="preserve">Professional training attended, if any, </w:t>
            </w:r>
          </w:p>
          <w:p w:rsidR="000947C9" w:rsidRDefault="000947C9">
            <w:pPr>
              <w:pStyle w:val="Default"/>
              <w:rPr>
                <w:rFonts w:ascii="Times New Roman" w:hAnsi="Times New Roman" w:cs="Times New Roman"/>
              </w:rPr>
            </w:pPr>
            <w:r>
              <w:rPr>
                <w:b/>
                <w:bCs/>
                <w:sz w:val="22"/>
                <w:szCs w:val="22"/>
              </w:rPr>
              <w:t xml:space="preserve">(along with the subject matter and duration)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sz w:val="22"/>
                <w:szCs w:val="22"/>
              </w:rPr>
            </w:pPr>
            <w:r>
              <w:rPr>
                <w:b/>
                <w:bCs/>
                <w:sz w:val="22"/>
                <w:szCs w:val="22"/>
              </w:rPr>
              <w:t xml:space="preserve">Previous experience </w:t>
            </w:r>
          </w:p>
          <w:p w:rsidR="000947C9" w:rsidRDefault="000947C9">
            <w:pPr>
              <w:pStyle w:val="Default"/>
              <w:rPr>
                <w:rFonts w:ascii="Times New Roman" w:hAnsi="Times New Roman" w:cs="Times New Roman"/>
              </w:rPr>
            </w:pPr>
            <w:r>
              <w:rPr>
                <w:b/>
                <w:bCs/>
                <w:sz w:val="22"/>
                <w:szCs w:val="22"/>
              </w:rPr>
              <w:t xml:space="preserve">(attach an extra sheet, if required)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r>
      <w:tr w:rsidR="000947C9" w:rsidTr="000947C9">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rFonts w:ascii="Times New Roman" w:hAnsi="Times New Roman" w:cs="Times New Roman"/>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7C9" w:rsidRDefault="000947C9">
            <w:pPr>
              <w:pStyle w:val="Default"/>
              <w:rPr>
                <w:sz w:val="22"/>
                <w:szCs w:val="22"/>
              </w:rPr>
            </w:pPr>
            <w:r>
              <w:rPr>
                <w:b/>
                <w:bCs/>
                <w:sz w:val="22"/>
                <w:szCs w:val="22"/>
              </w:rPr>
              <w:t xml:space="preserve">Two References </w:t>
            </w:r>
          </w:p>
          <w:p w:rsidR="000947C9" w:rsidRDefault="000947C9">
            <w:pPr>
              <w:pStyle w:val="Default"/>
              <w:rPr>
                <w:rFonts w:ascii="Times New Roman" w:hAnsi="Times New Roman" w:cs="Times New Roman"/>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7C9" w:rsidRDefault="000947C9">
            <w:pPr>
              <w:pStyle w:val="Default"/>
              <w:rPr>
                <w:sz w:val="22"/>
                <w:szCs w:val="22"/>
              </w:rPr>
            </w:pPr>
            <w:r>
              <w:rPr>
                <w:b/>
                <w:bCs/>
                <w:sz w:val="22"/>
                <w:szCs w:val="22"/>
              </w:rPr>
              <w:t xml:space="preserve">1. </w:t>
            </w:r>
          </w:p>
          <w:p w:rsidR="000947C9" w:rsidRDefault="000947C9">
            <w:pPr>
              <w:pStyle w:val="Default"/>
              <w:rPr>
                <w:rFonts w:ascii="Times New Roman" w:hAnsi="Times New Roman" w:cs="Times New Roman"/>
              </w:rPr>
            </w:pPr>
            <w:r>
              <w:rPr>
                <w:b/>
                <w:bCs/>
                <w:sz w:val="22"/>
                <w:szCs w:val="22"/>
              </w:rPr>
              <w:t xml:space="preserve">2. </w:t>
            </w:r>
          </w:p>
        </w:tc>
      </w:tr>
    </w:tbl>
    <w:p w:rsidR="000947C9" w:rsidRDefault="000947C9" w:rsidP="000947C9">
      <w:pPr>
        <w:pStyle w:val="Default"/>
        <w:rPr>
          <w:rFonts w:ascii="Times New Roman" w:hAnsi="Times New Roman" w:cs="Times New Roman"/>
        </w:rPr>
      </w:pPr>
    </w:p>
    <w:p w:rsidR="000947C9" w:rsidRDefault="000947C9" w:rsidP="000947C9">
      <w:pPr>
        <w:pStyle w:val="Default"/>
        <w:rPr>
          <w:rFonts w:ascii="Times New Roman" w:hAnsi="Times New Roman" w:cs="Times New Roman"/>
        </w:rPr>
      </w:pPr>
    </w:p>
    <w:p w:rsidR="000947C9" w:rsidRDefault="000947C9" w:rsidP="000947C9">
      <w:pPr>
        <w:pStyle w:val="Default"/>
        <w:rPr>
          <w:rFonts w:ascii="Times New Roman" w:hAnsi="Times New Roman" w:cs="Times New Roman"/>
        </w:rPr>
      </w:pPr>
    </w:p>
    <w:p w:rsidR="007745EB" w:rsidRDefault="007745EB" w:rsidP="007745EB">
      <w:pPr>
        <w:pStyle w:val="Default"/>
        <w:jc w:val="right"/>
        <w:rPr>
          <w:b/>
          <w:bCs/>
          <w:sz w:val="22"/>
          <w:szCs w:val="22"/>
        </w:rPr>
      </w:pPr>
      <w:r>
        <w:rPr>
          <w:b/>
          <w:bCs/>
          <w:sz w:val="22"/>
          <w:szCs w:val="22"/>
        </w:rPr>
        <w:t>(Signature of the applicant)</w:t>
      </w:r>
    </w:p>
    <w:p w:rsidR="000947C9" w:rsidRPr="007745EB" w:rsidRDefault="000947C9" w:rsidP="007745EB">
      <w:pPr>
        <w:pStyle w:val="Default"/>
        <w:rPr>
          <w:rFonts w:ascii="Times New Roman" w:hAnsi="Times New Roman" w:cs="Times New Roman"/>
        </w:rPr>
      </w:pPr>
      <w:r>
        <w:rPr>
          <w:b/>
          <w:bCs/>
          <w:sz w:val="22"/>
          <w:szCs w:val="22"/>
        </w:rPr>
        <w:t>Dated:___/___/20</w:t>
      </w:r>
      <w:r w:rsidR="007745EB">
        <w:rPr>
          <w:b/>
          <w:bCs/>
          <w:sz w:val="22"/>
          <w:szCs w:val="22"/>
        </w:rPr>
        <w:t>19</w:t>
      </w:r>
    </w:p>
    <w:sectPr w:rsidR="000947C9" w:rsidRPr="007745EB" w:rsidSect="007745EB">
      <w:pgSz w:w="11906" w:h="16838"/>
      <w:pgMar w:top="720" w:right="1440" w:bottom="1440"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F22"/>
    <w:multiLevelType w:val="hybridMultilevel"/>
    <w:tmpl w:val="12EAFE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6F85EA4"/>
    <w:multiLevelType w:val="hybridMultilevel"/>
    <w:tmpl w:val="01EC2B9A"/>
    <w:lvl w:ilvl="0" w:tplc="428E8DBE">
      <w:start w:val="1"/>
      <w:numFmt w:val="upp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5C84"/>
    <w:rsid w:val="00055AA8"/>
    <w:rsid w:val="000947C9"/>
    <w:rsid w:val="000E714D"/>
    <w:rsid w:val="004F7D70"/>
    <w:rsid w:val="005B5C84"/>
    <w:rsid w:val="006A64E4"/>
    <w:rsid w:val="0073717F"/>
    <w:rsid w:val="007745EB"/>
    <w:rsid w:val="00816933"/>
    <w:rsid w:val="00B33BDA"/>
    <w:rsid w:val="00D815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84"/>
    <w:pPr>
      <w:ind w:left="720"/>
      <w:contextualSpacing/>
    </w:pPr>
    <w:rPr>
      <w:szCs w:val="22"/>
      <w:lang w:bidi="ar-SA"/>
    </w:rPr>
  </w:style>
  <w:style w:type="paragraph" w:styleId="NoSpacing">
    <w:name w:val="No Spacing"/>
    <w:uiPriority w:val="1"/>
    <w:qFormat/>
    <w:rsid w:val="005B5C84"/>
    <w:pPr>
      <w:spacing w:after="0" w:line="240" w:lineRule="auto"/>
    </w:pPr>
    <w:rPr>
      <w:szCs w:val="22"/>
      <w:lang w:bidi="ar-SA"/>
    </w:rPr>
  </w:style>
  <w:style w:type="paragraph" w:customStyle="1" w:styleId="Default">
    <w:name w:val="Default"/>
    <w:rsid w:val="000947C9"/>
    <w:pPr>
      <w:autoSpaceDE w:val="0"/>
      <w:autoSpaceDN w:val="0"/>
      <w:adjustRightInd w:val="0"/>
      <w:spacing w:after="0" w:line="240" w:lineRule="auto"/>
    </w:pPr>
    <w:rPr>
      <w:rFonts w:ascii="Calibri" w:hAnsi="Calibri" w:cs="Calibri"/>
      <w:color w:val="000000"/>
      <w:sz w:val="24"/>
      <w:szCs w:val="24"/>
      <w:lang w:val="en-US" w:eastAsia="en-US" w:bidi="ar-SA"/>
    </w:rPr>
  </w:style>
  <w:style w:type="table" w:styleId="TableGrid">
    <w:name w:val="Table Grid"/>
    <w:basedOn w:val="TableNormal"/>
    <w:uiPriority w:val="59"/>
    <w:rsid w:val="000947C9"/>
    <w:pPr>
      <w:spacing w:after="0" w:line="240" w:lineRule="auto"/>
    </w:pPr>
    <w:rPr>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5FC5-4033-462C-B906-288AD688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NCAA 6</cp:lastModifiedBy>
  <cp:revision>8</cp:revision>
  <dcterms:created xsi:type="dcterms:W3CDTF">2019-03-07T09:10:00Z</dcterms:created>
  <dcterms:modified xsi:type="dcterms:W3CDTF">2019-03-07T09:52:00Z</dcterms:modified>
</cp:coreProperties>
</file>